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28148" w14:textId="77777777" w:rsidR="00E47C77" w:rsidRPr="00BB30C7" w:rsidRDefault="00E47C77" w:rsidP="00E47C77">
      <w:pPr>
        <w:pStyle w:val="Default"/>
        <w:spacing w:line="276" w:lineRule="auto"/>
        <w:jc w:val="center"/>
        <w:rPr>
          <w:b/>
          <w:bCs/>
          <w:color w:val="auto"/>
        </w:rPr>
      </w:pPr>
      <w:r w:rsidRPr="00BB30C7">
        <w:rPr>
          <w:b/>
          <w:bCs/>
          <w:color w:val="auto"/>
        </w:rPr>
        <w:t>РОССИЙСКАЯ ФЕДЕРАЦИЯ</w:t>
      </w:r>
    </w:p>
    <w:p w14:paraId="41369EBE" w14:textId="77777777" w:rsidR="00E47C77" w:rsidRPr="00BB30C7" w:rsidRDefault="00E47C77" w:rsidP="00E47C77">
      <w:pPr>
        <w:pStyle w:val="Default"/>
        <w:spacing w:line="276" w:lineRule="auto"/>
        <w:jc w:val="center"/>
        <w:rPr>
          <w:b/>
          <w:bCs/>
          <w:color w:val="auto"/>
        </w:rPr>
      </w:pPr>
      <w:r w:rsidRPr="00BB30C7">
        <w:rPr>
          <w:b/>
          <w:bCs/>
          <w:color w:val="auto"/>
        </w:rPr>
        <w:t>НИЖЕГОРОДСКАЯ ОБЛАСТЬ</w:t>
      </w:r>
    </w:p>
    <w:p w14:paraId="6774B4F7" w14:textId="4E09812E" w:rsidR="00E47C77" w:rsidRPr="00BB30C7" w:rsidRDefault="00E47C77" w:rsidP="00E47C77">
      <w:pPr>
        <w:pStyle w:val="Default"/>
        <w:spacing w:line="276" w:lineRule="auto"/>
        <w:jc w:val="center"/>
        <w:rPr>
          <w:b/>
          <w:bCs/>
          <w:color w:val="auto"/>
        </w:rPr>
      </w:pPr>
      <w:r>
        <w:rPr>
          <w:b/>
          <w:bCs/>
          <w:color w:val="auto"/>
        </w:rPr>
        <w:t xml:space="preserve">ВОЛОДАРСКИЙ </w:t>
      </w:r>
      <w:r w:rsidRPr="00BB30C7">
        <w:rPr>
          <w:b/>
          <w:bCs/>
          <w:color w:val="auto"/>
        </w:rPr>
        <w:t>МУНИЦИПАЛЬНЫЙ ОКРУГ</w:t>
      </w:r>
    </w:p>
    <w:p w14:paraId="034F4EB0" w14:textId="77777777" w:rsidR="00E47C77" w:rsidRDefault="00E47C77" w:rsidP="00E47C77">
      <w:pPr>
        <w:pStyle w:val="Default"/>
        <w:spacing w:line="276" w:lineRule="auto"/>
        <w:jc w:val="center"/>
        <w:rPr>
          <w:color w:val="auto"/>
        </w:rPr>
      </w:pPr>
    </w:p>
    <w:p w14:paraId="148A5915" w14:textId="77777777" w:rsidR="00E47C77" w:rsidRDefault="00E47C77" w:rsidP="00E47C77">
      <w:pPr>
        <w:pStyle w:val="Default"/>
        <w:spacing w:line="276" w:lineRule="auto"/>
        <w:jc w:val="center"/>
        <w:rPr>
          <w:color w:val="auto"/>
        </w:rPr>
      </w:pPr>
    </w:p>
    <w:p w14:paraId="1A883561" w14:textId="77777777" w:rsidR="00E47C77" w:rsidRDefault="00E47C77" w:rsidP="00E47C77">
      <w:pPr>
        <w:pStyle w:val="Default"/>
        <w:spacing w:line="276" w:lineRule="auto"/>
        <w:jc w:val="center"/>
        <w:rPr>
          <w:color w:val="auto"/>
        </w:rPr>
      </w:pPr>
    </w:p>
    <w:p w14:paraId="76747DF0" w14:textId="77777777" w:rsidR="00E47C77" w:rsidRPr="00BB30C7" w:rsidRDefault="00E47C77" w:rsidP="00E47C77">
      <w:pPr>
        <w:pStyle w:val="Default"/>
        <w:spacing w:line="276" w:lineRule="auto"/>
        <w:jc w:val="center"/>
        <w:rPr>
          <w:color w:val="auto"/>
          <w:sz w:val="28"/>
          <w:szCs w:val="28"/>
        </w:rPr>
      </w:pPr>
    </w:p>
    <w:p w14:paraId="6E1046C3" w14:textId="77777777" w:rsidR="00E47C77" w:rsidRPr="00F6317F" w:rsidRDefault="00E47C77" w:rsidP="00E47C77">
      <w:pPr>
        <w:pStyle w:val="Default"/>
        <w:spacing w:line="360" w:lineRule="auto"/>
        <w:ind w:left="-426"/>
        <w:jc w:val="center"/>
        <w:rPr>
          <w:color w:val="auto"/>
        </w:rPr>
      </w:pPr>
      <w:r w:rsidRPr="00F6317F">
        <w:rPr>
          <w:b/>
          <w:bCs/>
          <w:color w:val="auto"/>
        </w:rPr>
        <w:t>МЕСТНЫЕ НОРМАТИВЫ</w:t>
      </w:r>
    </w:p>
    <w:p w14:paraId="01779A4F" w14:textId="77777777" w:rsidR="00E47C77" w:rsidRPr="00F6317F" w:rsidRDefault="00E47C77" w:rsidP="00E47C77">
      <w:pPr>
        <w:pStyle w:val="Default"/>
        <w:spacing w:line="360" w:lineRule="auto"/>
        <w:ind w:left="-426"/>
        <w:jc w:val="center"/>
        <w:rPr>
          <w:color w:val="auto"/>
        </w:rPr>
      </w:pPr>
      <w:r w:rsidRPr="00F6317F">
        <w:rPr>
          <w:b/>
          <w:bCs/>
          <w:color w:val="auto"/>
        </w:rPr>
        <w:t>ГРАДОСТРОИТЕЛЬНОГО ПРОЕКТИРОВАНИЯ</w:t>
      </w:r>
    </w:p>
    <w:p w14:paraId="646778BA" w14:textId="46B03098" w:rsidR="00E47C77" w:rsidRDefault="00E47C77" w:rsidP="00E47C77">
      <w:pPr>
        <w:pStyle w:val="Default"/>
        <w:spacing w:line="360" w:lineRule="auto"/>
        <w:ind w:left="-426"/>
        <w:jc w:val="center"/>
        <w:rPr>
          <w:b/>
          <w:bCs/>
          <w:color w:val="auto"/>
        </w:rPr>
      </w:pPr>
      <w:r>
        <w:rPr>
          <w:b/>
          <w:bCs/>
          <w:color w:val="auto"/>
        </w:rPr>
        <w:t xml:space="preserve">ВОЛОДАРСКОГО </w:t>
      </w:r>
      <w:r w:rsidRPr="00F6317F">
        <w:rPr>
          <w:b/>
          <w:bCs/>
          <w:color w:val="auto"/>
        </w:rPr>
        <w:t>МУНИЦ</w:t>
      </w:r>
      <w:r>
        <w:rPr>
          <w:b/>
          <w:bCs/>
          <w:color w:val="auto"/>
        </w:rPr>
        <w:t>И</w:t>
      </w:r>
      <w:r w:rsidRPr="00F6317F">
        <w:rPr>
          <w:b/>
          <w:bCs/>
          <w:color w:val="auto"/>
        </w:rPr>
        <w:t>ПАЛЬНОГО ОКРУГА</w:t>
      </w:r>
      <w:r>
        <w:rPr>
          <w:b/>
          <w:bCs/>
          <w:color w:val="auto"/>
        </w:rPr>
        <w:t xml:space="preserve"> </w:t>
      </w:r>
    </w:p>
    <w:p w14:paraId="708F61F8" w14:textId="77777777" w:rsidR="00E47C77" w:rsidRPr="00571A65" w:rsidRDefault="00E47C77" w:rsidP="00E47C77">
      <w:pPr>
        <w:pStyle w:val="Default"/>
        <w:spacing w:line="360" w:lineRule="auto"/>
        <w:ind w:left="-426"/>
        <w:jc w:val="center"/>
        <w:rPr>
          <w:b/>
          <w:bCs/>
          <w:color w:val="auto"/>
        </w:rPr>
      </w:pPr>
      <w:r w:rsidRPr="00F6317F">
        <w:rPr>
          <w:b/>
          <w:bCs/>
          <w:color w:val="auto"/>
        </w:rPr>
        <w:t>НИЖЕ</w:t>
      </w:r>
      <w:r>
        <w:rPr>
          <w:b/>
          <w:bCs/>
          <w:color w:val="auto"/>
        </w:rPr>
        <w:t xml:space="preserve">ГОРОДСКОЙ </w:t>
      </w:r>
      <w:r w:rsidRPr="00F6317F">
        <w:rPr>
          <w:b/>
          <w:bCs/>
          <w:color w:val="auto"/>
        </w:rPr>
        <w:t>ОБЛАСТИ</w:t>
      </w:r>
    </w:p>
    <w:p w14:paraId="47AE49B3" w14:textId="77777777" w:rsidR="00E47C77" w:rsidRDefault="00E47C77" w:rsidP="00E47C77">
      <w:pPr>
        <w:pStyle w:val="Default"/>
        <w:spacing w:line="276" w:lineRule="auto"/>
        <w:jc w:val="center"/>
        <w:rPr>
          <w:b/>
          <w:bCs/>
          <w:color w:val="auto"/>
        </w:rPr>
      </w:pPr>
    </w:p>
    <w:p w14:paraId="044E335E" w14:textId="77777777" w:rsidR="00E47C77" w:rsidRPr="006D601B" w:rsidRDefault="00E47C77" w:rsidP="00E47C77">
      <w:pPr>
        <w:pStyle w:val="Default"/>
        <w:spacing w:line="276" w:lineRule="auto"/>
        <w:jc w:val="center"/>
        <w:rPr>
          <w:b/>
          <w:bCs/>
          <w:color w:val="auto"/>
        </w:rPr>
      </w:pPr>
    </w:p>
    <w:p w14:paraId="471560BC" w14:textId="77777777" w:rsidR="00E47C77" w:rsidRPr="00571A65" w:rsidRDefault="00E47C77" w:rsidP="00E47C77">
      <w:pPr>
        <w:pStyle w:val="Default"/>
        <w:spacing w:line="360" w:lineRule="auto"/>
        <w:ind w:left="-426"/>
        <w:jc w:val="center"/>
        <w:rPr>
          <w:b/>
          <w:bCs/>
          <w:color w:val="auto"/>
        </w:rPr>
      </w:pPr>
      <w:r w:rsidRPr="00571A65">
        <w:rPr>
          <w:b/>
          <w:bCs/>
          <w:color w:val="auto"/>
        </w:rPr>
        <w:t>Том III</w:t>
      </w:r>
    </w:p>
    <w:p w14:paraId="1A2CDFFF" w14:textId="77777777" w:rsidR="00E47C77" w:rsidRPr="00571A65" w:rsidRDefault="00E47C77" w:rsidP="00E47C77">
      <w:pPr>
        <w:pStyle w:val="Default"/>
        <w:spacing w:line="360" w:lineRule="auto"/>
        <w:ind w:left="-426"/>
        <w:jc w:val="center"/>
        <w:rPr>
          <w:b/>
          <w:bCs/>
          <w:color w:val="auto"/>
        </w:rPr>
      </w:pPr>
      <w:r w:rsidRPr="00571A65">
        <w:rPr>
          <w:b/>
          <w:bCs/>
          <w:color w:val="auto"/>
        </w:rPr>
        <w:t>Правила и область применения расчетных показателей</w:t>
      </w:r>
    </w:p>
    <w:p w14:paraId="4699E8FE" w14:textId="77777777" w:rsidR="00E47C77" w:rsidRPr="003D45EB" w:rsidRDefault="00E47C77" w:rsidP="00E47C77">
      <w:pPr>
        <w:pStyle w:val="Default"/>
        <w:spacing w:line="276" w:lineRule="auto"/>
        <w:jc w:val="center"/>
        <w:rPr>
          <w:b/>
          <w:bCs/>
          <w:color w:val="auto"/>
        </w:rPr>
      </w:pPr>
    </w:p>
    <w:p w14:paraId="198C2A53" w14:textId="77777777" w:rsidR="00E47C77" w:rsidRPr="003D45EB" w:rsidRDefault="00E47C77" w:rsidP="00E47C77">
      <w:pPr>
        <w:pStyle w:val="Default"/>
        <w:spacing w:line="276" w:lineRule="auto"/>
        <w:jc w:val="center"/>
        <w:rPr>
          <w:b/>
          <w:bCs/>
          <w:color w:val="auto"/>
        </w:rPr>
      </w:pPr>
    </w:p>
    <w:p w14:paraId="314061A8" w14:textId="77777777" w:rsidR="00E47C77" w:rsidRPr="003D45EB" w:rsidRDefault="00E47C77" w:rsidP="00E47C77">
      <w:pPr>
        <w:pStyle w:val="Default"/>
        <w:spacing w:line="276" w:lineRule="auto"/>
        <w:jc w:val="center"/>
        <w:rPr>
          <w:b/>
          <w:bCs/>
          <w:color w:val="auto"/>
        </w:rPr>
      </w:pPr>
    </w:p>
    <w:p w14:paraId="0DEF4A05" w14:textId="77777777" w:rsidR="00E47C77" w:rsidRDefault="00E47C77" w:rsidP="00E47C77">
      <w:pPr>
        <w:pStyle w:val="Default"/>
        <w:spacing w:line="276" w:lineRule="auto"/>
        <w:jc w:val="center"/>
        <w:rPr>
          <w:b/>
          <w:bCs/>
          <w:color w:val="auto"/>
        </w:rPr>
      </w:pPr>
    </w:p>
    <w:p w14:paraId="2FF74915" w14:textId="77777777" w:rsidR="00E47C77" w:rsidRDefault="00E47C77" w:rsidP="00E47C77">
      <w:pPr>
        <w:pStyle w:val="Default"/>
        <w:spacing w:line="276" w:lineRule="auto"/>
        <w:jc w:val="center"/>
        <w:rPr>
          <w:b/>
          <w:bCs/>
          <w:color w:val="auto"/>
        </w:rPr>
      </w:pPr>
    </w:p>
    <w:p w14:paraId="3CBB6500" w14:textId="77777777" w:rsidR="00E47C77" w:rsidRDefault="00E47C77" w:rsidP="00E47C77">
      <w:pPr>
        <w:pStyle w:val="Default"/>
        <w:spacing w:line="276" w:lineRule="auto"/>
        <w:jc w:val="center"/>
        <w:rPr>
          <w:b/>
          <w:bCs/>
          <w:color w:val="auto"/>
        </w:rPr>
      </w:pPr>
    </w:p>
    <w:p w14:paraId="7C1E7794" w14:textId="77777777" w:rsidR="00E47C77" w:rsidRDefault="00E47C77" w:rsidP="00E47C77">
      <w:pPr>
        <w:pStyle w:val="Default"/>
        <w:spacing w:line="276" w:lineRule="auto"/>
        <w:jc w:val="center"/>
        <w:rPr>
          <w:b/>
          <w:bCs/>
          <w:color w:val="auto"/>
        </w:rPr>
      </w:pPr>
    </w:p>
    <w:p w14:paraId="37DE6D04" w14:textId="77777777" w:rsidR="00E47C77" w:rsidRDefault="00E47C77" w:rsidP="00E47C77">
      <w:pPr>
        <w:pStyle w:val="Default"/>
        <w:spacing w:line="276" w:lineRule="auto"/>
        <w:jc w:val="center"/>
        <w:rPr>
          <w:b/>
          <w:bCs/>
          <w:color w:val="auto"/>
        </w:rPr>
      </w:pPr>
    </w:p>
    <w:p w14:paraId="6B08FCDB" w14:textId="77777777" w:rsidR="00E47C77" w:rsidRDefault="00E47C77" w:rsidP="00E47C77">
      <w:pPr>
        <w:pStyle w:val="Default"/>
        <w:spacing w:line="276" w:lineRule="auto"/>
        <w:jc w:val="center"/>
        <w:rPr>
          <w:b/>
          <w:bCs/>
          <w:color w:val="auto"/>
        </w:rPr>
      </w:pPr>
    </w:p>
    <w:p w14:paraId="52D9458F" w14:textId="77777777" w:rsidR="00E47C77" w:rsidRDefault="00E47C77" w:rsidP="00E47C77">
      <w:pPr>
        <w:pStyle w:val="Default"/>
        <w:spacing w:line="276" w:lineRule="auto"/>
        <w:jc w:val="center"/>
        <w:rPr>
          <w:b/>
          <w:bCs/>
          <w:color w:val="auto"/>
        </w:rPr>
      </w:pPr>
    </w:p>
    <w:p w14:paraId="744E5D48" w14:textId="77777777" w:rsidR="00E47C77" w:rsidRDefault="00E47C77" w:rsidP="00E47C77">
      <w:pPr>
        <w:pStyle w:val="Default"/>
        <w:spacing w:line="276" w:lineRule="auto"/>
        <w:jc w:val="center"/>
        <w:rPr>
          <w:b/>
          <w:bCs/>
          <w:color w:val="auto"/>
        </w:rPr>
      </w:pPr>
    </w:p>
    <w:p w14:paraId="7D5D874B" w14:textId="77777777" w:rsidR="00E47C77" w:rsidRDefault="00E47C77" w:rsidP="00E47C77">
      <w:pPr>
        <w:pStyle w:val="Default"/>
        <w:spacing w:line="276" w:lineRule="auto"/>
        <w:jc w:val="center"/>
        <w:rPr>
          <w:b/>
          <w:bCs/>
          <w:color w:val="auto"/>
        </w:rPr>
      </w:pPr>
    </w:p>
    <w:p w14:paraId="081C3712" w14:textId="77777777" w:rsidR="00E47C77" w:rsidRDefault="00E47C77" w:rsidP="00E47C77">
      <w:pPr>
        <w:pStyle w:val="Default"/>
        <w:spacing w:line="276" w:lineRule="auto"/>
        <w:jc w:val="center"/>
        <w:rPr>
          <w:b/>
          <w:bCs/>
          <w:color w:val="auto"/>
        </w:rPr>
      </w:pPr>
    </w:p>
    <w:p w14:paraId="3D795387" w14:textId="77777777" w:rsidR="00E47C77" w:rsidRDefault="00E47C77" w:rsidP="00E47C77">
      <w:pPr>
        <w:pStyle w:val="Default"/>
        <w:spacing w:line="276" w:lineRule="auto"/>
        <w:jc w:val="center"/>
        <w:rPr>
          <w:b/>
          <w:bCs/>
          <w:color w:val="auto"/>
        </w:rPr>
      </w:pPr>
    </w:p>
    <w:p w14:paraId="72863F67" w14:textId="77777777" w:rsidR="00E47C77" w:rsidRDefault="00E47C77" w:rsidP="00E47C77">
      <w:pPr>
        <w:pStyle w:val="Default"/>
        <w:spacing w:line="276" w:lineRule="auto"/>
        <w:jc w:val="center"/>
        <w:rPr>
          <w:b/>
          <w:bCs/>
          <w:color w:val="auto"/>
        </w:rPr>
      </w:pPr>
    </w:p>
    <w:p w14:paraId="233B38B2" w14:textId="77777777" w:rsidR="00E47C77" w:rsidRDefault="00E47C77" w:rsidP="00E47C77">
      <w:pPr>
        <w:pStyle w:val="Default"/>
        <w:spacing w:line="276" w:lineRule="auto"/>
        <w:jc w:val="center"/>
        <w:rPr>
          <w:b/>
          <w:bCs/>
          <w:color w:val="auto"/>
        </w:rPr>
      </w:pPr>
    </w:p>
    <w:p w14:paraId="31FADC42" w14:textId="77777777" w:rsidR="00E47C77" w:rsidRDefault="00E47C77" w:rsidP="00E47C77">
      <w:pPr>
        <w:pStyle w:val="Default"/>
        <w:spacing w:line="276" w:lineRule="auto"/>
        <w:jc w:val="center"/>
        <w:rPr>
          <w:b/>
          <w:bCs/>
          <w:color w:val="auto"/>
        </w:rPr>
      </w:pPr>
    </w:p>
    <w:p w14:paraId="7FE09069" w14:textId="77777777" w:rsidR="00E47C77" w:rsidRDefault="00E47C77" w:rsidP="00E47C77">
      <w:pPr>
        <w:pStyle w:val="Default"/>
        <w:spacing w:line="276" w:lineRule="auto"/>
        <w:jc w:val="center"/>
        <w:rPr>
          <w:b/>
          <w:bCs/>
          <w:color w:val="auto"/>
        </w:rPr>
      </w:pPr>
    </w:p>
    <w:p w14:paraId="65111470" w14:textId="77777777" w:rsidR="00E47C77" w:rsidRDefault="00E47C77" w:rsidP="00E47C77">
      <w:pPr>
        <w:pStyle w:val="Default"/>
        <w:spacing w:line="276" w:lineRule="auto"/>
        <w:jc w:val="center"/>
        <w:rPr>
          <w:b/>
          <w:bCs/>
          <w:color w:val="auto"/>
        </w:rPr>
      </w:pPr>
    </w:p>
    <w:p w14:paraId="5B49F61C" w14:textId="77777777" w:rsidR="00E47C77" w:rsidRDefault="00E47C77" w:rsidP="00E47C77">
      <w:pPr>
        <w:pStyle w:val="Default"/>
        <w:spacing w:line="276" w:lineRule="auto"/>
        <w:jc w:val="center"/>
        <w:rPr>
          <w:b/>
          <w:bCs/>
          <w:color w:val="auto"/>
        </w:rPr>
      </w:pPr>
    </w:p>
    <w:p w14:paraId="3F737FD1" w14:textId="77777777" w:rsidR="00E47C77" w:rsidRDefault="00E47C77" w:rsidP="00E47C77">
      <w:pPr>
        <w:pStyle w:val="Default"/>
        <w:spacing w:line="276" w:lineRule="auto"/>
        <w:jc w:val="center"/>
        <w:rPr>
          <w:b/>
          <w:bCs/>
          <w:color w:val="auto"/>
        </w:rPr>
      </w:pPr>
    </w:p>
    <w:p w14:paraId="4CFB4121" w14:textId="77777777" w:rsidR="00E47C77" w:rsidRDefault="00E47C77" w:rsidP="00E47C77">
      <w:pPr>
        <w:pStyle w:val="Default"/>
        <w:spacing w:line="276" w:lineRule="auto"/>
        <w:jc w:val="center"/>
        <w:rPr>
          <w:b/>
          <w:bCs/>
          <w:color w:val="auto"/>
        </w:rPr>
      </w:pPr>
    </w:p>
    <w:p w14:paraId="5DFE5E69" w14:textId="77777777" w:rsidR="00E47C77" w:rsidRDefault="00E47C77" w:rsidP="00E47C77">
      <w:pPr>
        <w:pStyle w:val="Default"/>
        <w:spacing w:line="276" w:lineRule="auto"/>
        <w:jc w:val="center"/>
        <w:rPr>
          <w:b/>
          <w:bCs/>
          <w:color w:val="auto"/>
        </w:rPr>
      </w:pPr>
    </w:p>
    <w:p w14:paraId="0278D0AB" w14:textId="77777777" w:rsidR="00E47C77" w:rsidRDefault="00E47C77" w:rsidP="00E47C77">
      <w:pPr>
        <w:pStyle w:val="Default"/>
        <w:spacing w:line="276" w:lineRule="auto"/>
        <w:jc w:val="center"/>
        <w:rPr>
          <w:b/>
          <w:bCs/>
          <w:color w:val="auto"/>
        </w:rPr>
      </w:pPr>
    </w:p>
    <w:p w14:paraId="6FE9E086" w14:textId="77777777" w:rsidR="00E47C77" w:rsidRDefault="00E47C77" w:rsidP="00E47C77">
      <w:pPr>
        <w:pStyle w:val="Default"/>
        <w:spacing w:line="276" w:lineRule="auto"/>
        <w:jc w:val="center"/>
        <w:rPr>
          <w:b/>
          <w:bCs/>
          <w:color w:val="auto"/>
        </w:rPr>
      </w:pPr>
    </w:p>
    <w:p w14:paraId="7A575B8E" w14:textId="77777777" w:rsidR="00E47C77" w:rsidRDefault="00E47C77" w:rsidP="00E47C77">
      <w:pPr>
        <w:pStyle w:val="Default"/>
        <w:spacing w:line="276" w:lineRule="auto"/>
        <w:jc w:val="center"/>
        <w:rPr>
          <w:b/>
          <w:bCs/>
          <w:color w:val="auto"/>
        </w:rPr>
      </w:pPr>
    </w:p>
    <w:p w14:paraId="0460567E" w14:textId="77777777" w:rsidR="00E47C77" w:rsidRDefault="00E47C77" w:rsidP="00E47C77">
      <w:pPr>
        <w:pStyle w:val="Default"/>
        <w:spacing w:line="276" w:lineRule="auto"/>
        <w:jc w:val="center"/>
        <w:rPr>
          <w:b/>
          <w:bCs/>
          <w:color w:val="auto"/>
        </w:rPr>
      </w:pPr>
    </w:p>
    <w:p w14:paraId="7EE2D5A5" w14:textId="77777777" w:rsidR="00E47C77" w:rsidRPr="003D45EB" w:rsidRDefault="00E47C77" w:rsidP="00E47C77">
      <w:pPr>
        <w:pStyle w:val="Default"/>
        <w:spacing w:line="276" w:lineRule="auto"/>
        <w:jc w:val="center"/>
        <w:rPr>
          <w:b/>
          <w:bCs/>
          <w:color w:val="auto"/>
        </w:rPr>
      </w:pPr>
      <w:r w:rsidRPr="003D45EB">
        <w:rPr>
          <w:b/>
          <w:bCs/>
          <w:color w:val="auto"/>
        </w:rPr>
        <w:t>20</w:t>
      </w:r>
      <w:r>
        <w:rPr>
          <w:b/>
          <w:bCs/>
          <w:color w:val="auto"/>
        </w:rPr>
        <w:t>25</w:t>
      </w:r>
    </w:p>
    <w:p w14:paraId="254B1CE8" w14:textId="77777777" w:rsidR="003A2884" w:rsidRDefault="00E47C77" w:rsidP="00E47C77">
      <w:r>
        <w:br w:type="page"/>
      </w:r>
    </w:p>
    <w:sdt>
      <w:sdtPr>
        <w:rPr>
          <w:rFonts w:ascii="Calibri" w:eastAsia="Times New Roman" w:hAnsi="Calibri" w:cs="Times New Roman"/>
          <w:color w:val="auto"/>
          <w:sz w:val="22"/>
          <w:szCs w:val="22"/>
        </w:rPr>
        <w:id w:val="186252090"/>
        <w:docPartObj>
          <w:docPartGallery w:val="Table of Contents"/>
          <w:docPartUnique/>
        </w:docPartObj>
      </w:sdtPr>
      <w:sdtEndPr>
        <w:rPr>
          <w:b/>
          <w:bCs/>
        </w:rPr>
      </w:sdtEndPr>
      <w:sdtContent>
        <w:p w14:paraId="4DA0BF41" w14:textId="341FDFC9" w:rsidR="003A2884" w:rsidRDefault="003A2884">
          <w:pPr>
            <w:pStyle w:val="a3"/>
          </w:pPr>
          <w:r>
            <w:t>Оглавление</w:t>
          </w:r>
        </w:p>
        <w:p w14:paraId="433B4810" w14:textId="152EDC7D" w:rsidR="005B73BD" w:rsidRDefault="00F9134E">
          <w:pPr>
            <w:pStyle w:val="11"/>
            <w:tabs>
              <w:tab w:val="right" w:leader="dot" w:pos="9345"/>
            </w:tabs>
            <w:rPr>
              <w:noProof/>
            </w:rPr>
          </w:pPr>
          <w:r>
            <w:fldChar w:fldCharType="begin"/>
          </w:r>
          <w:r>
            <w:instrText xml:space="preserve"> TOC \o "1-3" \h \z \u </w:instrText>
          </w:r>
          <w:r>
            <w:fldChar w:fldCharType="separate"/>
          </w:r>
          <w:hyperlink w:anchor="_Toc207882951" w:history="1">
            <w:r w:rsidR="005B73BD" w:rsidRPr="00FF2D03">
              <w:rPr>
                <w:rStyle w:val="a4"/>
                <w:rFonts w:ascii="Times New Roman" w:hAnsi="Times New Roman"/>
                <w:b/>
                <w:bCs/>
                <w:noProof/>
              </w:rPr>
              <w:t>Глава 1. Предмет регулирования местных нормативов градостроительного проектирования</w:t>
            </w:r>
            <w:r w:rsidR="005B73BD">
              <w:rPr>
                <w:noProof/>
                <w:webHidden/>
              </w:rPr>
              <w:tab/>
            </w:r>
            <w:r w:rsidR="005B73BD">
              <w:rPr>
                <w:noProof/>
                <w:webHidden/>
              </w:rPr>
              <w:fldChar w:fldCharType="begin"/>
            </w:r>
            <w:r w:rsidR="005B73BD">
              <w:rPr>
                <w:noProof/>
                <w:webHidden/>
              </w:rPr>
              <w:instrText xml:space="preserve"> PAGEREF _Toc207882951 \h </w:instrText>
            </w:r>
            <w:r w:rsidR="005B73BD">
              <w:rPr>
                <w:noProof/>
                <w:webHidden/>
              </w:rPr>
            </w:r>
            <w:r w:rsidR="005B73BD">
              <w:rPr>
                <w:noProof/>
                <w:webHidden/>
              </w:rPr>
              <w:fldChar w:fldCharType="separate"/>
            </w:r>
            <w:r>
              <w:rPr>
                <w:noProof/>
                <w:webHidden/>
              </w:rPr>
              <w:t>3</w:t>
            </w:r>
            <w:r w:rsidR="005B73BD">
              <w:rPr>
                <w:noProof/>
                <w:webHidden/>
              </w:rPr>
              <w:fldChar w:fldCharType="end"/>
            </w:r>
          </w:hyperlink>
        </w:p>
        <w:p w14:paraId="54486ED8" w14:textId="7CD15765" w:rsidR="005B73BD" w:rsidRDefault="005B73BD">
          <w:pPr>
            <w:pStyle w:val="21"/>
            <w:tabs>
              <w:tab w:val="right" w:leader="dot" w:pos="9345"/>
            </w:tabs>
            <w:rPr>
              <w:noProof/>
            </w:rPr>
          </w:pPr>
          <w:hyperlink w:anchor="_Toc207882952" w:history="1">
            <w:r w:rsidRPr="00FF2D03">
              <w:rPr>
                <w:rStyle w:val="a4"/>
                <w:noProof/>
              </w:rPr>
              <w:t>Глава 2. Содержание местных нормативов градостроительного проектирования</w:t>
            </w:r>
            <w:r>
              <w:rPr>
                <w:noProof/>
                <w:webHidden/>
              </w:rPr>
              <w:tab/>
            </w:r>
            <w:r>
              <w:rPr>
                <w:noProof/>
                <w:webHidden/>
              </w:rPr>
              <w:fldChar w:fldCharType="begin"/>
            </w:r>
            <w:r>
              <w:rPr>
                <w:noProof/>
                <w:webHidden/>
              </w:rPr>
              <w:instrText xml:space="preserve"> PAGEREF _Toc207882952 \h </w:instrText>
            </w:r>
            <w:r>
              <w:rPr>
                <w:noProof/>
                <w:webHidden/>
              </w:rPr>
            </w:r>
            <w:r>
              <w:rPr>
                <w:noProof/>
                <w:webHidden/>
              </w:rPr>
              <w:fldChar w:fldCharType="separate"/>
            </w:r>
            <w:r w:rsidR="00F9134E">
              <w:rPr>
                <w:noProof/>
                <w:webHidden/>
              </w:rPr>
              <w:t>3</w:t>
            </w:r>
            <w:r>
              <w:rPr>
                <w:noProof/>
                <w:webHidden/>
              </w:rPr>
              <w:fldChar w:fldCharType="end"/>
            </w:r>
          </w:hyperlink>
        </w:p>
        <w:p w14:paraId="79D136EC" w14:textId="161D622F" w:rsidR="005B73BD" w:rsidRDefault="005B73BD">
          <w:pPr>
            <w:pStyle w:val="21"/>
            <w:tabs>
              <w:tab w:val="right" w:leader="dot" w:pos="9345"/>
            </w:tabs>
            <w:rPr>
              <w:noProof/>
            </w:rPr>
          </w:pPr>
          <w:hyperlink w:anchor="_Toc207882953" w:history="1">
            <w:r w:rsidRPr="00FF2D03">
              <w:rPr>
                <w:rStyle w:val="a4"/>
                <w:noProof/>
              </w:rPr>
              <w:t>Глава 3. Назначение и область применения местных нормативов градостроительного проектирования</w:t>
            </w:r>
            <w:r>
              <w:rPr>
                <w:noProof/>
                <w:webHidden/>
              </w:rPr>
              <w:tab/>
            </w:r>
            <w:r>
              <w:rPr>
                <w:noProof/>
                <w:webHidden/>
              </w:rPr>
              <w:fldChar w:fldCharType="begin"/>
            </w:r>
            <w:r>
              <w:rPr>
                <w:noProof/>
                <w:webHidden/>
              </w:rPr>
              <w:instrText xml:space="preserve"> PAGEREF _Toc207882953 \h </w:instrText>
            </w:r>
            <w:r>
              <w:rPr>
                <w:noProof/>
                <w:webHidden/>
              </w:rPr>
            </w:r>
            <w:r>
              <w:rPr>
                <w:noProof/>
                <w:webHidden/>
              </w:rPr>
              <w:fldChar w:fldCharType="separate"/>
            </w:r>
            <w:r w:rsidR="00F9134E">
              <w:rPr>
                <w:noProof/>
                <w:webHidden/>
              </w:rPr>
              <w:t>4</w:t>
            </w:r>
            <w:r>
              <w:rPr>
                <w:noProof/>
                <w:webHidden/>
              </w:rPr>
              <w:fldChar w:fldCharType="end"/>
            </w:r>
          </w:hyperlink>
        </w:p>
        <w:p w14:paraId="6A34EF7F" w14:textId="0FA56017" w:rsidR="005B73BD" w:rsidRDefault="005B73BD">
          <w:pPr>
            <w:pStyle w:val="21"/>
            <w:tabs>
              <w:tab w:val="right" w:leader="dot" w:pos="9345"/>
            </w:tabs>
            <w:rPr>
              <w:noProof/>
            </w:rPr>
          </w:pPr>
          <w:hyperlink w:anchor="_Toc207882954" w:history="1">
            <w:r w:rsidRPr="00FF2D03">
              <w:rPr>
                <w:rStyle w:val="a4"/>
                <w:noProof/>
              </w:rPr>
              <w:t>Глава 4. Правила применения местных нормативов градостроительного проектирования</w:t>
            </w:r>
            <w:r>
              <w:rPr>
                <w:noProof/>
                <w:webHidden/>
              </w:rPr>
              <w:tab/>
            </w:r>
            <w:r>
              <w:rPr>
                <w:noProof/>
                <w:webHidden/>
              </w:rPr>
              <w:fldChar w:fldCharType="begin"/>
            </w:r>
            <w:r>
              <w:rPr>
                <w:noProof/>
                <w:webHidden/>
              </w:rPr>
              <w:instrText xml:space="preserve"> PAGEREF _Toc207882954 \h </w:instrText>
            </w:r>
            <w:r>
              <w:rPr>
                <w:noProof/>
                <w:webHidden/>
              </w:rPr>
            </w:r>
            <w:r>
              <w:rPr>
                <w:noProof/>
                <w:webHidden/>
              </w:rPr>
              <w:fldChar w:fldCharType="separate"/>
            </w:r>
            <w:r w:rsidR="00F9134E">
              <w:rPr>
                <w:noProof/>
                <w:webHidden/>
              </w:rPr>
              <w:t>5</w:t>
            </w:r>
            <w:r>
              <w:rPr>
                <w:noProof/>
                <w:webHidden/>
              </w:rPr>
              <w:fldChar w:fldCharType="end"/>
            </w:r>
          </w:hyperlink>
        </w:p>
        <w:p w14:paraId="2AD60BB0" w14:textId="0BD4CD68" w:rsidR="003A2884" w:rsidRDefault="00F9134E">
          <w:r>
            <w:rPr>
              <w:b/>
              <w:bCs/>
              <w:noProof/>
            </w:rPr>
            <w:fldChar w:fldCharType="end"/>
          </w:r>
        </w:p>
      </w:sdtContent>
    </w:sdt>
    <w:p w14:paraId="0D405488" w14:textId="678A164B" w:rsidR="00064BA7" w:rsidRDefault="00064BA7" w:rsidP="00E47C77"/>
    <w:p w14:paraId="37863874" w14:textId="77777777" w:rsidR="00064BA7" w:rsidRDefault="00064BA7">
      <w:pPr>
        <w:spacing w:after="160" w:line="259" w:lineRule="auto"/>
      </w:pPr>
      <w:r>
        <w:br w:type="page"/>
      </w:r>
    </w:p>
    <w:p w14:paraId="5D2ECD62" w14:textId="78D4A444" w:rsidR="00E624EF" w:rsidRDefault="00064BA7" w:rsidP="00064BA7">
      <w:pPr>
        <w:pStyle w:val="1"/>
        <w:spacing w:after="240" w:line="360" w:lineRule="auto"/>
        <w:jc w:val="both"/>
        <w:rPr>
          <w:rFonts w:ascii="Times New Roman" w:hAnsi="Times New Roman" w:cs="Times New Roman"/>
          <w:b/>
          <w:bCs/>
          <w:color w:val="000000" w:themeColor="text1"/>
        </w:rPr>
      </w:pPr>
      <w:bookmarkStart w:id="0" w:name="_Toc168581784"/>
      <w:bookmarkStart w:id="1" w:name="_Toc207882951"/>
      <w:r w:rsidRPr="00064BA7">
        <w:rPr>
          <w:rFonts w:ascii="Times New Roman" w:hAnsi="Times New Roman" w:cs="Times New Roman"/>
          <w:b/>
          <w:bCs/>
          <w:color w:val="000000" w:themeColor="text1"/>
        </w:rPr>
        <w:lastRenderedPageBreak/>
        <w:t>Глава 1. Предмет регулирования местных нормативов градостроительного проектирования</w:t>
      </w:r>
      <w:bookmarkEnd w:id="0"/>
      <w:bookmarkEnd w:id="1"/>
    </w:p>
    <w:p w14:paraId="7601C677" w14:textId="77777777" w:rsidR="005B73BD" w:rsidRPr="005B73BD" w:rsidRDefault="005B73BD" w:rsidP="005B73BD">
      <w:pPr>
        <w:pStyle w:val="Default"/>
        <w:spacing w:line="360" w:lineRule="auto"/>
        <w:ind w:firstLine="709"/>
        <w:jc w:val="both"/>
        <w:rPr>
          <w:color w:val="auto"/>
        </w:rPr>
      </w:pPr>
      <w:r w:rsidRPr="005B73BD">
        <w:rPr>
          <w:color w:val="auto"/>
        </w:rPr>
        <w:t xml:space="preserve">1. Настоящие Нормативы градостроительного проектирования Володарского муниципального округа Нижегородской области направлены на организацию управления органами местного самоуправления Володарского </w:t>
      </w:r>
      <w:r w:rsidRPr="005B73BD">
        <w:t>муниципального округа</w:t>
      </w:r>
      <w:r w:rsidRPr="005B73BD">
        <w:rPr>
          <w:color w:val="auto"/>
        </w:rPr>
        <w:t xml:space="preserve"> Нижегородской области по созданию благоприятной и обустроенной среды жизнедеятельности населения и предназначены для регулирования градостроительной деятельности на основе требований законодательства Российской Федерации и Нижегородской области. </w:t>
      </w:r>
    </w:p>
    <w:p w14:paraId="10AEC19D" w14:textId="5AB53A4A" w:rsidR="00064BA7" w:rsidRDefault="005B73BD" w:rsidP="005B73BD">
      <w:pPr>
        <w:spacing w:line="360" w:lineRule="auto"/>
        <w:ind w:firstLine="709"/>
        <w:jc w:val="both"/>
        <w:rPr>
          <w:rFonts w:ascii="Times New Roman" w:hAnsi="Times New Roman"/>
          <w:sz w:val="24"/>
          <w:szCs w:val="24"/>
        </w:rPr>
      </w:pPr>
      <w:r w:rsidRPr="005B73BD">
        <w:rPr>
          <w:rFonts w:ascii="Times New Roman" w:hAnsi="Times New Roman"/>
          <w:sz w:val="24"/>
          <w:szCs w:val="24"/>
        </w:rPr>
        <w:t>2. Настоящие  Нормативы градостроительного проектирования Володарского муниципального округа Нижегородской области устанавливают совокупность расчетных показателей минимально допустимого уровня обеспеченности объектами местного значения муниципального округа, объектами благоустройства территории, иными объектами местного значения муниципального округа, населения муниципального округа и расчетных показателей максимально допустимого уровня территориальной доступности таких объектов для населения муниципального округа.</w:t>
      </w:r>
    </w:p>
    <w:p w14:paraId="4595938D" w14:textId="77777777" w:rsidR="005B73BD" w:rsidRPr="00A84679" w:rsidRDefault="005B73BD" w:rsidP="005B73BD">
      <w:pPr>
        <w:pStyle w:val="2"/>
        <w:spacing w:after="240" w:line="360" w:lineRule="auto"/>
        <w:jc w:val="both"/>
        <w:rPr>
          <w:rFonts w:ascii="Times New Roman" w:hAnsi="Times New Roman" w:cs="Times New Roman"/>
          <w:b/>
          <w:bCs/>
          <w:color w:val="0D0D0D" w:themeColor="text1" w:themeTint="F2"/>
          <w:sz w:val="28"/>
          <w:szCs w:val="28"/>
        </w:rPr>
      </w:pPr>
      <w:bookmarkStart w:id="2" w:name="_Toc168581785"/>
      <w:bookmarkStart w:id="3" w:name="_Toc207882952"/>
      <w:r w:rsidRPr="00A84679">
        <w:rPr>
          <w:rFonts w:ascii="Times New Roman" w:hAnsi="Times New Roman" w:cs="Times New Roman"/>
          <w:b/>
          <w:bCs/>
          <w:color w:val="0D0D0D" w:themeColor="text1" w:themeTint="F2"/>
          <w:sz w:val="28"/>
          <w:szCs w:val="28"/>
        </w:rPr>
        <w:t>Глава 2. Содержание местных нормативов градостроительного проектирования</w:t>
      </w:r>
      <w:bookmarkEnd w:id="2"/>
      <w:bookmarkEnd w:id="3"/>
      <w:r w:rsidRPr="00A84679">
        <w:rPr>
          <w:rFonts w:ascii="Times New Roman" w:hAnsi="Times New Roman" w:cs="Times New Roman"/>
          <w:b/>
          <w:bCs/>
          <w:color w:val="0D0D0D" w:themeColor="text1" w:themeTint="F2"/>
          <w:sz w:val="28"/>
          <w:szCs w:val="28"/>
        </w:rPr>
        <w:t xml:space="preserve"> </w:t>
      </w:r>
    </w:p>
    <w:p w14:paraId="164A6D6B" w14:textId="0F92AE4B" w:rsidR="005B73BD" w:rsidRDefault="005B73BD" w:rsidP="005B73BD">
      <w:pPr>
        <w:pStyle w:val="ConsNormal"/>
        <w:spacing w:line="360" w:lineRule="auto"/>
        <w:ind w:right="0" w:firstLine="709"/>
        <w:jc w:val="both"/>
        <w:rPr>
          <w:rFonts w:ascii="Times New Roman" w:hAnsi="Times New Roman" w:cs="Times New Roman"/>
          <w:sz w:val="24"/>
          <w:szCs w:val="24"/>
        </w:rPr>
      </w:pPr>
      <w:r>
        <w:rPr>
          <w:rFonts w:ascii="Times New Roman" w:hAnsi="Times New Roman" w:cs="Times New Roman"/>
          <w:sz w:val="24"/>
          <w:szCs w:val="24"/>
        </w:rPr>
        <w:t xml:space="preserve">3. Настоящие местные нормативы градостроительного проектирования </w:t>
      </w:r>
      <w:r>
        <w:rPr>
          <w:rFonts w:ascii="Times New Roman" w:hAnsi="Times New Roman" w:cs="Times New Roman"/>
          <w:sz w:val="24"/>
          <w:szCs w:val="24"/>
        </w:rPr>
        <w:t xml:space="preserve">Володарского </w:t>
      </w:r>
      <w:r>
        <w:rPr>
          <w:rFonts w:ascii="Times New Roman" w:hAnsi="Times New Roman" w:cs="Times New Roman"/>
          <w:sz w:val="24"/>
          <w:szCs w:val="24"/>
        </w:rPr>
        <w:t>муниципального округа</w:t>
      </w:r>
      <w:r>
        <w:t xml:space="preserve"> </w:t>
      </w:r>
      <w:r>
        <w:rPr>
          <w:rFonts w:ascii="Times New Roman" w:hAnsi="Times New Roman" w:cs="Times New Roman"/>
          <w:sz w:val="24"/>
          <w:szCs w:val="24"/>
        </w:rPr>
        <w:t>Нижегородской области включают в себя расчетные показатели минимально допустимого уровня обеспеченности</w:t>
      </w:r>
      <w:r>
        <w:rPr>
          <w:rFonts w:ascii="Times New Roman" w:hAnsi="Times New Roman" w:cs="Times New Roman"/>
          <w:color w:val="000000"/>
          <w:sz w:val="24"/>
          <w:szCs w:val="24"/>
        </w:rPr>
        <w:t xml:space="preserve"> населения муниципального округа </w:t>
      </w:r>
      <w:r>
        <w:rPr>
          <w:rFonts w:ascii="Times New Roman" w:hAnsi="Times New Roman" w:cs="Times New Roman"/>
          <w:sz w:val="24"/>
          <w:szCs w:val="24"/>
        </w:rPr>
        <w:t>объект</w:t>
      </w:r>
      <w:r>
        <w:rPr>
          <w:rFonts w:ascii="Times New Roman" w:hAnsi="Times New Roman" w:cs="Times New Roman"/>
          <w:sz w:val="24"/>
          <w:szCs w:val="24"/>
        </w:rPr>
        <w:t>ами</w:t>
      </w:r>
      <w:r>
        <w:rPr>
          <w:rFonts w:ascii="Times New Roman" w:hAnsi="Times New Roman" w:cs="Times New Roman"/>
          <w:sz w:val="24"/>
          <w:szCs w:val="24"/>
        </w:rPr>
        <w:t xml:space="preserve"> местного значения муниципального округа, относящиеся к следующим областям:</w:t>
      </w:r>
    </w:p>
    <w:p w14:paraId="40544DEE" w14:textId="77777777" w:rsidR="005B73BD" w:rsidRDefault="005B73BD" w:rsidP="005B73BD">
      <w:pPr>
        <w:pStyle w:val="ConsNormal"/>
        <w:spacing w:line="360" w:lineRule="auto"/>
        <w:ind w:right="0" w:firstLine="709"/>
        <w:jc w:val="both"/>
        <w:rPr>
          <w:rFonts w:ascii="Times New Roman" w:hAnsi="Times New Roman" w:cs="Times New Roman"/>
          <w:sz w:val="24"/>
          <w:szCs w:val="24"/>
        </w:rPr>
      </w:pPr>
      <w:bookmarkStart w:id="4" w:name="_Hlk152072168"/>
      <w:r>
        <w:rPr>
          <w:rFonts w:ascii="Times New Roman" w:hAnsi="Times New Roman" w:cs="Times New Roman"/>
          <w:sz w:val="24"/>
          <w:szCs w:val="24"/>
        </w:rPr>
        <w:t>- электро-, тепло-, газо- и водоснабжение населения, водоотведение;</w:t>
      </w:r>
    </w:p>
    <w:p w14:paraId="7D3E75CE" w14:textId="77777777" w:rsidR="005B73BD" w:rsidRDefault="005B73BD" w:rsidP="005B73BD">
      <w:pPr>
        <w:pStyle w:val="ConsNormal"/>
        <w:spacing w:line="360" w:lineRule="auto"/>
        <w:ind w:right="0" w:firstLine="709"/>
        <w:jc w:val="both"/>
        <w:rPr>
          <w:rFonts w:ascii="Times New Roman" w:hAnsi="Times New Roman" w:cs="Times New Roman"/>
          <w:sz w:val="24"/>
          <w:szCs w:val="24"/>
        </w:rPr>
      </w:pPr>
      <w:r>
        <w:rPr>
          <w:rFonts w:ascii="Times New Roman" w:hAnsi="Times New Roman" w:cs="Times New Roman"/>
          <w:sz w:val="24"/>
          <w:szCs w:val="24"/>
        </w:rPr>
        <w:t>- автомобильные дороги местного значения;</w:t>
      </w:r>
    </w:p>
    <w:p w14:paraId="603A5193" w14:textId="77777777" w:rsidR="005B73BD" w:rsidRDefault="005B73BD" w:rsidP="005B73BD">
      <w:pPr>
        <w:pStyle w:val="ConsNormal"/>
        <w:spacing w:line="360" w:lineRule="auto"/>
        <w:ind w:right="0" w:firstLine="709"/>
        <w:jc w:val="both"/>
        <w:rPr>
          <w:rFonts w:ascii="Times New Roman" w:hAnsi="Times New Roman" w:cs="Times New Roman"/>
          <w:sz w:val="24"/>
          <w:szCs w:val="24"/>
        </w:rPr>
      </w:pPr>
      <w:r>
        <w:rPr>
          <w:rFonts w:ascii="Times New Roman" w:hAnsi="Times New Roman" w:cs="Times New Roman"/>
          <w:sz w:val="24"/>
          <w:szCs w:val="24"/>
        </w:rPr>
        <w:t>- физическая культура и массовый спорт;</w:t>
      </w:r>
    </w:p>
    <w:p w14:paraId="38586A6A" w14:textId="77777777" w:rsidR="005B73BD" w:rsidRDefault="005B73BD" w:rsidP="005B73BD">
      <w:pPr>
        <w:pStyle w:val="ConsNormal"/>
        <w:spacing w:line="360" w:lineRule="auto"/>
        <w:ind w:right="0" w:firstLine="709"/>
        <w:jc w:val="both"/>
        <w:rPr>
          <w:rFonts w:ascii="Times New Roman" w:hAnsi="Times New Roman" w:cs="Times New Roman"/>
          <w:sz w:val="24"/>
          <w:szCs w:val="24"/>
        </w:rPr>
      </w:pPr>
      <w:r>
        <w:rPr>
          <w:rFonts w:ascii="Times New Roman" w:hAnsi="Times New Roman" w:cs="Times New Roman"/>
          <w:sz w:val="24"/>
          <w:szCs w:val="24"/>
        </w:rPr>
        <w:t xml:space="preserve">- образование; </w:t>
      </w:r>
    </w:p>
    <w:p w14:paraId="32F74192" w14:textId="77777777" w:rsidR="005B73BD" w:rsidRDefault="005B73BD" w:rsidP="005B73BD">
      <w:pPr>
        <w:pStyle w:val="ConsNormal"/>
        <w:spacing w:line="360" w:lineRule="auto"/>
        <w:ind w:right="0" w:firstLine="709"/>
        <w:jc w:val="both"/>
        <w:rPr>
          <w:rFonts w:ascii="Times New Roman" w:hAnsi="Times New Roman" w:cs="Times New Roman"/>
          <w:sz w:val="24"/>
          <w:szCs w:val="24"/>
        </w:rPr>
      </w:pPr>
      <w:r>
        <w:rPr>
          <w:rFonts w:ascii="Times New Roman" w:hAnsi="Times New Roman" w:cs="Times New Roman"/>
          <w:sz w:val="24"/>
          <w:szCs w:val="24"/>
        </w:rPr>
        <w:t>- здравоохранение;</w:t>
      </w:r>
    </w:p>
    <w:p w14:paraId="529B4871" w14:textId="77777777" w:rsidR="005B73BD" w:rsidRDefault="005B73BD" w:rsidP="005B73BD">
      <w:pPr>
        <w:pStyle w:val="ConsNormal"/>
        <w:spacing w:line="360" w:lineRule="auto"/>
        <w:ind w:right="0" w:firstLine="709"/>
        <w:jc w:val="both"/>
        <w:rPr>
          <w:rFonts w:ascii="Times New Roman" w:hAnsi="Times New Roman" w:cs="Times New Roman"/>
          <w:sz w:val="24"/>
          <w:szCs w:val="24"/>
        </w:rPr>
      </w:pPr>
      <w:r>
        <w:rPr>
          <w:rFonts w:ascii="Times New Roman" w:hAnsi="Times New Roman" w:cs="Times New Roman"/>
          <w:sz w:val="24"/>
          <w:szCs w:val="24"/>
        </w:rPr>
        <w:t>- обработки, утилизация, обезвреживание, размещение твердых коммунальных отходов;</w:t>
      </w:r>
    </w:p>
    <w:p w14:paraId="2A36FF0E" w14:textId="77777777" w:rsidR="005B73BD" w:rsidRDefault="005B73BD" w:rsidP="005B73BD">
      <w:pPr>
        <w:pStyle w:val="Default"/>
        <w:spacing w:line="360" w:lineRule="auto"/>
        <w:ind w:firstLine="709"/>
        <w:jc w:val="both"/>
        <w:rPr>
          <w:color w:val="auto"/>
        </w:rPr>
      </w:pPr>
      <w:r>
        <w:t>-</w:t>
      </w:r>
      <w:r>
        <w:rPr>
          <w:color w:val="auto"/>
        </w:rPr>
        <w:t xml:space="preserve"> досуга, художественного творчества и культуры;</w:t>
      </w:r>
    </w:p>
    <w:p w14:paraId="1AE3740F" w14:textId="77777777" w:rsidR="005B73BD" w:rsidRDefault="005B73BD" w:rsidP="005B73BD">
      <w:pPr>
        <w:pStyle w:val="Default"/>
        <w:spacing w:line="360" w:lineRule="auto"/>
        <w:ind w:firstLine="709"/>
        <w:jc w:val="both"/>
        <w:rPr>
          <w:color w:val="auto"/>
        </w:rPr>
      </w:pPr>
      <w:r>
        <w:t>-</w:t>
      </w:r>
      <w:r>
        <w:rPr>
          <w:color w:val="auto"/>
        </w:rPr>
        <w:t xml:space="preserve"> ритуальных услуг и содержания мест захоронения; </w:t>
      </w:r>
    </w:p>
    <w:p w14:paraId="22E8313A" w14:textId="77777777" w:rsidR="005B73BD" w:rsidRDefault="005B73BD" w:rsidP="005B73BD">
      <w:pPr>
        <w:pStyle w:val="ConsNormal"/>
        <w:spacing w:line="360" w:lineRule="auto"/>
        <w:ind w:right="0" w:firstLine="709"/>
        <w:jc w:val="both"/>
        <w:rPr>
          <w:rFonts w:ascii="Times New Roman" w:hAnsi="Times New Roman" w:cs="Times New Roman"/>
          <w:sz w:val="24"/>
          <w:szCs w:val="24"/>
        </w:rPr>
      </w:pPr>
      <w:r>
        <w:rPr>
          <w:rFonts w:ascii="Times New Roman" w:hAnsi="Times New Roman" w:cs="Times New Roman"/>
          <w:sz w:val="24"/>
          <w:szCs w:val="24"/>
        </w:rPr>
        <w:t xml:space="preserve">- охраны объектов культурного наследия местного значения; </w:t>
      </w:r>
    </w:p>
    <w:p w14:paraId="40B54660" w14:textId="77777777" w:rsidR="005B73BD" w:rsidRDefault="005B73BD" w:rsidP="005B73BD">
      <w:pPr>
        <w:pStyle w:val="ConsNormal"/>
        <w:spacing w:line="360" w:lineRule="auto"/>
        <w:ind w:righ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охраны особо охраняемых природных территорий местного значения; </w:t>
      </w:r>
    </w:p>
    <w:p w14:paraId="0559B595" w14:textId="77777777" w:rsidR="005B73BD" w:rsidRDefault="005B73BD" w:rsidP="005B73BD">
      <w:pPr>
        <w:pStyle w:val="Default"/>
        <w:spacing w:line="360" w:lineRule="auto"/>
        <w:ind w:firstLine="709"/>
        <w:jc w:val="both"/>
        <w:rPr>
          <w:color w:val="auto"/>
        </w:rPr>
      </w:pPr>
      <w:r>
        <w:t>-</w:t>
      </w:r>
      <w:r>
        <w:rPr>
          <w:color w:val="auto"/>
        </w:rPr>
        <w:t xml:space="preserve"> обеспечения технического осмотра автомобилей; </w:t>
      </w:r>
    </w:p>
    <w:p w14:paraId="5D97CD66" w14:textId="77777777" w:rsidR="005B73BD" w:rsidRDefault="005B73BD" w:rsidP="005B73BD">
      <w:pPr>
        <w:pStyle w:val="Default"/>
        <w:spacing w:line="360" w:lineRule="auto"/>
        <w:ind w:firstLine="709"/>
        <w:jc w:val="both"/>
        <w:rPr>
          <w:color w:val="auto"/>
        </w:rPr>
      </w:pPr>
      <w:r>
        <w:t>-</w:t>
      </w:r>
      <w:r>
        <w:rPr>
          <w:color w:val="auto"/>
        </w:rPr>
        <w:t xml:space="preserve"> транспортных услуг и транспортного обслуживания населения; </w:t>
      </w:r>
    </w:p>
    <w:p w14:paraId="23AFABB5" w14:textId="77777777" w:rsidR="005B73BD" w:rsidRDefault="005B73BD" w:rsidP="005B73BD">
      <w:pPr>
        <w:pStyle w:val="Default"/>
        <w:spacing w:line="360" w:lineRule="auto"/>
        <w:ind w:firstLine="709"/>
        <w:jc w:val="both"/>
        <w:rPr>
          <w:color w:val="auto"/>
        </w:rPr>
      </w:pPr>
      <w:r>
        <w:t>-</w:t>
      </w:r>
      <w:r>
        <w:rPr>
          <w:color w:val="auto"/>
        </w:rPr>
        <w:t xml:space="preserve"> услуг связи, общественного питания, торговли и бытового обслуживания населения; </w:t>
      </w:r>
    </w:p>
    <w:p w14:paraId="255AF694" w14:textId="77777777" w:rsidR="005B73BD" w:rsidRDefault="005B73BD" w:rsidP="005B73BD">
      <w:pPr>
        <w:pStyle w:val="Default"/>
        <w:spacing w:line="360" w:lineRule="auto"/>
        <w:ind w:firstLine="709"/>
        <w:jc w:val="both"/>
        <w:rPr>
          <w:color w:val="auto"/>
        </w:rPr>
      </w:pPr>
      <w:r>
        <w:t>-</w:t>
      </w:r>
      <w:r>
        <w:rPr>
          <w:color w:val="auto"/>
        </w:rPr>
        <w:t xml:space="preserve"> гражданской обороны, защите населения и территории от чрезвычайных ситуаций природного и техногенного характера; </w:t>
      </w:r>
    </w:p>
    <w:p w14:paraId="2DB24B9B" w14:textId="77777777" w:rsidR="005B73BD" w:rsidRDefault="005B73BD" w:rsidP="005B73BD">
      <w:pPr>
        <w:pStyle w:val="Default"/>
        <w:spacing w:line="360" w:lineRule="auto"/>
        <w:ind w:firstLine="709"/>
        <w:jc w:val="both"/>
        <w:rPr>
          <w:color w:val="auto"/>
        </w:rPr>
      </w:pPr>
      <w:r>
        <w:t xml:space="preserve">- </w:t>
      </w:r>
      <w:r>
        <w:rPr>
          <w:color w:val="auto"/>
        </w:rPr>
        <w:t xml:space="preserve">организации участия в профилактике терроризма и экстремизма, а также в минимизации и (или) ликвидации последствий проявлений терроризма и экстремизма; </w:t>
      </w:r>
    </w:p>
    <w:p w14:paraId="2C0B49DC" w14:textId="77777777" w:rsidR="005B73BD" w:rsidRPr="00A84679" w:rsidRDefault="005B73BD" w:rsidP="005B73BD">
      <w:pPr>
        <w:pStyle w:val="2"/>
        <w:spacing w:after="240" w:line="360" w:lineRule="auto"/>
        <w:jc w:val="both"/>
        <w:rPr>
          <w:rFonts w:ascii="Times New Roman" w:hAnsi="Times New Roman" w:cs="Times New Roman"/>
          <w:b/>
          <w:bCs/>
          <w:color w:val="0D0D0D" w:themeColor="text1" w:themeTint="F2"/>
          <w:sz w:val="28"/>
          <w:szCs w:val="28"/>
        </w:rPr>
      </w:pPr>
      <w:bookmarkStart w:id="5" w:name="_Глава_3._Назначение"/>
      <w:bookmarkStart w:id="6" w:name="_Toc168581786"/>
      <w:bookmarkStart w:id="7" w:name="_Toc207882953"/>
      <w:bookmarkEnd w:id="4"/>
      <w:bookmarkEnd w:id="5"/>
      <w:r w:rsidRPr="00A84679">
        <w:rPr>
          <w:rFonts w:ascii="Times New Roman" w:hAnsi="Times New Roman" w:cs="Times New Roman"/>
          <w:b/>
          <w:bCs/>
          <w:color w:val="0D0D0D" w:themeColor="text1" w:themeTint="F2"/>
          <w:sz w:val="28"/>
          <w:szCs w:val="28"/>
        </w:rPr>
        <w:t>Глава 3. Назначение и область применения местных нормативов градостроительного проектирования</w:t>
      </w:r>
      <w:bookmarkEnd w:id="6"/>
      <w:bookmarkEnd w:id="7"/>
      <w:r w:rsidRPr="00A84679">
        <w:rPr>
          <w:rFonts w:ascii="Times New Roman" w:hAnsi="Times New Roman" w:cs="Times New Roman"/>
          <w:b/>
          <w:bCs/>
          <w:color w:val="0D0D0D" w:themeColor="text1" w:themeTint="F2"/>
          <w:sz w:val="28"/>
          <w:szCs w:val="28"/>
        </w:rPr>
        <w:t xml:space="preserve"> </w:t>
      </w:r>
    </w:p>
    <w:p w14:paraId="481D3A83" w14:textId="2F9EFBF0" w:rsidR="005B73BD" w:rsidRDefault="005B73BD" w:rsidP="005B73BD">
      <w:pPr>
        <w:pStyle w:val="Default"/>
        <w:spacing w:line="360" w:lineRule="auto"/>
        <w:ind w:firstLine="709"/>
        <w:jc w:val="both"/>
        <w:rPr>
          <w:color w:val="auto"/>
        </w:rPr>
      </w:pPr>
      <w:r>
        <w:rPr>
          <w:color w:val="auto"/>
        </w:rPr>
        <w:t xml:space="preserve">5. </w:t>
      </w:r>
      <w:r w:rsidR="00A84679">
        <w:rPr>
          <w:color w:val="auto"/>
        </w:rPr>
        <w:t>Настоящие Нормативы</w:t>
      </w:r>
      <w:r>
        <w:rPr>
          <w:color w:val="auto"/>
        </w:rPr>
        <w:t xml:space="preserve"> градостроительного проектирования </w:t>
      </w:r>
      <w:r w:rsidR="00A84679">
        <w:rPr>
          <w:color w:val="auto"/>
        </w:rPr>
        <w:t xml:space="preserve">Володарского </w:t>
      </w:r>
      <w:r>
        <w:rPr>
          <w:color w:val="auto"/>
        </w:rPr>
        <w:t xml:space="preserve">муниципального округа Нижегородской области являются средством организации управления органов местного самоуправления, расположенных на территории </w:t>
      </w:r>
      <w:r w:rsidR="00A84679">
        <w:rPr>
          <w:color w:val="auto"/>
        </w:rPr>
        <w:t xml:space="preserve">Володарского </w:t>
      </w:r>
      <w:r>
        <w:rPr>
          <w:color w:val="auto"/>
        </w:rPr>
        <w:t>муниципального округа Нижегородской области, по созданию благоприятных условий жизнедеятельности человека и предназначены для регулирования градостроительной деятельности на основе требований законодательства Российской Федерации и Нижегородской области.</w:t>
      </w:r>
    </w:p>
    <w:p w14:paraId="245A9945" w14:textId="37B7ACE1" w:rsidR="005B73BD" w:rsidRDefault="005B73BD" w:rsidP="005B73BD">
      <w:pPr>
        <w:pStyle w:val="Default"/>
        <w:spacing w:line="360" w:lineRule="auto"/>
        <w:ind w:firstLine="709"/>
        <w:jc w:val="both"/>
        <w:rPr>
          <w:color w:val="auto"/>
        </w:rPr>
      </w:pPr>
      <w:r>
        <w:rPr>
          <w:color w:val="auto"/>
        </w:rPr>
        <w:t xml:space="preserve">6. Нормативы, указанные в Настоящих Нормативах градостроительного проектирования </w:t>
      </w:r>
      <w:r w:rsidR="00A84679">
        <w:rPr>
          <w:color w:val="auto"/>
        </w:rPr>
        <w:t xml:space="preserve">Володарского </w:t>
      </w:r>
      <w:r>
        <w:rPr>
          <w:color w:val="auto"/>
        </w:rPr>
        <w:t>муниципального округа Нижегородской области, обеспечивают согласованность решений стратегического социально-экономического планирования и градостроительного проектирования, определяют зависимость между показателями социально-экономического развития территорий и показателями пространственного развития территорий.</w:t>
      </w:r>
    </w:p>
    <w:p w14:paraId="42B6B233" w14:textId="5A13C487" w:rsidR="005B73BD" w:rsidRDefault="005B73BD" w:rsidP="005B73BD">
      <w:pPr>
        <w:pStyle w:val="Default"/>
        <w:spacing w:line="360" w:lineRule="auto"/>
        <w:ind w:firstLine="709"/>
        <w:jc w:val="both"/>
        <w:rPr>
          <w:color w:val="auto"/>
        </w:rPr>
      </w:pPr>
      <w:r>
        <w:rPr>
          <w:color w:val="auto"/>
        </w:rPr>
        <w:t xml:space="preserve">7. Настоящие Нормативы градостроительного проектирования </w:t>
      </w:r>
      <w:r w:rsidR="005F3994">
        <w:rPr>
          <w:color w:val="auto"/>
        </w:rPr>
        <w:t xml:space="preserve">Володарского </w:t>
      </w:r>
      <w:r>
        <w:rPr>
          <w:color w:val="auto"/>
        </w:rPr>
        <w:t xml:space="preserve">муниципального округа </w:t>
      </w:r>
      <w:r w:rsidR="005F3994">
        <w:rPr>
          <w:color w:val="auto"/>
        </w:rPr>
        <w:t>Н</w:t>
      </w:r>
      <w:r>
        <w:rPr>
          <w:color w:val="auto"/>
        </w:rPr>
        <w:t>ижегородской области применяются при:</w:t>
      </w:r>
    </w:p>
    <w:p w14:paraId="75DF28F6" w14:textId="77777777" w:rsidR="005B73BD" w:rsidRDefault="005B73BD" w:rsidP="005B73BD">
      <w:pPr>
        <w:pStyle w:val="Default"/>
        <w:spacing w:line="360" w:lineRule="auto"/>
        <w:ind w:firstLine="709"/>
        <w:jc w:val="both"/>
        <w:rPr>
          <w:color w:val="auto"/>
        </w:rPr>
      </w:pPr>
      <w:r>
        <w:rPr>
          <w:color w:val="auto"/>
        </w:rPr>
        <w:t>1) подготовке, утверждении и реализации документов территориального планирования, градостроительного зонирования, а также при внесении изменений в указанные виды градостроительной документации;</w:t>
      </w:r>
    </w:p>
    <w:p w14:paraId="0D336ECA" w14:textId="77777777" w:rsidR="005B73BD" w:rsidRDefault="005B73BD" w:rsidP="005B73BD">
      <w:pPr>
        <w:pStyle w:val="Default"/>
        <w:spacing w:line="360" w:lineRule="auto"/>
        <w:ind w:firstLine="709"/>
        <w:jc w:val="both"/>
        <w:rPr>
          <w:color w:val="auto"/>
        </w:rPr>
      </w:pPr>
      <w:r>
        <w:rPr>
          <w:color w:val="auto"/>
        </w:rPr>
        <w:t xml:space="preserve">2) согласовании проектов документов территориального планирования </w:t>
      </w:r>
      <w:r>
        <w:t>муниципального</w:t>
      </w:r>
      <w:r>
        <w:rPr>
          <w:color w:val="auto"/>
        </w:rPr>
        <w:t xml:space="preserve"> округа и проектов изменений в такие документы с высшим исполнительным органом государственной власти Нижегородской области и органами местного самоуправления в случаях, предусмотренных законодательством;</w:t>
      </w:r>
    </w:p>
    <w:p w14:paraId="092DF3F5" w14:textId="77777777" w:rsidR="005B73BD" w:rsidRDefault="005B73BD" w:rsidP="005B73BD">
      <w:pPr>
        <w:pStyle w:val="Default"/>
        <w:spacing w:line="360" w:lineRule="auto"/>
        <w:ind w:firstLine="709"/>
        <w:jc w:val="both"/>
        <w:rPr>
          <w:color w:val="auto"/>
        </w:rPr>
      </w:pPr>
      <w:r>
        <w:rPr>
          <w:color w:val="auto"/>
        </w:rPr>
        <w:lastRenderedPageBreak/>
        <w:t xml:space="preserve">3) подготовке документации по планировке территории, в том числе при подготовке проектов планировки территории, проектов межевания территории и градостроительных планов земельных участков, предназначенных для строительства (реконструкции) объектов капитального строительства, и при внесении изменений в такие документы; </w:t>
      </w:r>
    </w:p>
    <w:p w14:paraId="42F4B6CD" w14:textId="77777777" w:rsidR="005B73BD" w:rsidRDefault="005B73BD" w:rsidP="005B73BD">
      <w:pPr>
        <w:pStyle w:val="Default"/>
        <w:spacing w:line="360" w:lineRule="auto"/>
        <w:ind w:firstLine="709"/>
        <w:jc w:val="both"/>
        <w:rPr>
          <w:color w:val="auto"/>
        </w:rPr>
      </w:pPr>
      <w:r>
        <w:rPr>
          <w:color w:val="auto"/>
        </w:rPr>
        <w:t xml:space="preserve">5) проверке уполномоченными федеральными органами исполнительной власти, уполномоченными органами исполнительной власти субъекта Российской Федерации, органами местного самоуправления подготовленной на основании их решении документации по планировке территории на соответствие требованиям, установленным Градостроительным кодексом Российской Федерации; </w:t>
      </w:r>
    </w:p>
    <w:p w14:paraId="4115A42C" w14:textId="77777777" w:rsidR="005B73BD" w:rsidRDefault="005B73BD" w:rsidP="005B73BD">
      <w:pPr>
        <w:pStyle w:val="Default"/>
        <w:spacing w:line="360" w:lineRule="auto"/>
        <w:ind w:firstLine="709"/>
        <w:jc w:val="both"/>
        <w:rPr>
          <w:color w:val="auto"/>
        </w:rPr>
      </w:pPr>
      <w:r>
        <w:rPr>
          <w:color w:val="auto"/>
        </w:rPr>
        <w:t xml:space="preserve">6) подготовке комплексных программ развития </w:t>
      </w:r>
      <w:r>
        <w:t>муниципального</w:t>
      </w:r>
      <w:r>
        <w:rPr>
          <w:color w:val="auto"/>
        </w:rPr>
        <w:t xml:space="preserve"> округа; </w:t>
      </w:r>
    </w:p>
    <w:p w14:paraId="764813AF" w14:textId="0CBD8C81" w:rsidR="005B73BD" w:rsidRDefault="005B73BD" w:rsidP="005B73BD">
      <w:pPr>
        <w:pStyle w:val="Default"/>
        <w:spacing w:line="360" w:lineRule="auto"/>
        <w:ind w:firstLine="709"/>
        <w:jc w:val="both"/>
        <w:rPr>
          <w:color w:val="auto"/>
        </w:rPr>
      </w:pPr>
      <w:r>
        <w:rPr>
          <w:color w:val="auto"/>
        </w:rPr>
        <w:t xml:space="preserve">7) осуществлении контроля органами исполнительной власти Нижегородской области за соблюдением органами местного самоуправления </w:t>
      </w:r>
      <w:r w:rsidR="005F3994">
        <w:rPr>
          <w:color w:val="auto"/>
        </w:rPr>
        <w:t xml:space="preserve">Володарского </w:t>
      </w:r>
      <w:r>
        <w:rPr>
          <w:color w:val="auto"/>
        </w:rPr>
        <w:t xml:space="preserve">муниципального округа Нижегородской области законодательства о градостроительной деятельности. </w:t>
      </w:r>
    </w:p>
    <w:p w14:paraId="46280966" w14:textId="77777777" w:rsidR="005B73BD" w:rsidRPr="005F3994" w:rsidRDefault="005B73BD" w:rsidP="005B73BD">
      <w:pPr>
        <w:pStyle w:val="2"/>
        <w:spacing w:after="240" w:line="360" w:lineRule="auto"/>
        <w:jc w:val="both"/>
        <w:rPr>
          <w:rFonts w:ascii="Times New Roman" w:hAnsi="Times New Roman" w:cs="Times New Roman"/>
          <w:b/>
          <w:bCs/>
          <w:color w:val="0D0D0D" w:themeColor="text1" w:themeTint="F2"/>
          <w:sz w:val="28"/>
          <w:szCs w:val="28"/>
        </w:rPr>
      </w:pPr>
      <w:bookmarkStart w:id="8" w:name="_Глава_4._Правила"/>
      <w:bookmarkStart w:id="9" w:name="_Toc168581787"/>
      <w:bookmarkStart w:id="10" w:name="_Toc207882954"/>
      <w:bookmarkEnd w:id="8"/>
      <w:r w:rsidRPr="005F3994">
        <w:rPr>
          <w:rFonts w:ascii="Times New Roman" w:hAnsi="Times New Roman" w:cs="Times New Roman"/>
          <w:b/>
          <w:bCs/>
          <w:color w:val="0D0D0D" w:themeColor="text1" w:themeTint="F2"/>
          <w:sz w:val="28"/>
          <w:szCs w:val="28"/>
        </w:rPr>
        <w:t>Глава 4. Правила применения местных нормативов градостроительного проектирования</w:t>
      </w:r>
      <w:bookmarkEnd w:id="9"/>
      <w:bookmarkEnd w:id="10"/>
      <w:r w:rsidRPr="005F3994">
        <w:rPr>
          <w:rFonts w:ascii="Times New Roman" w:hAnsi="Times New Roman" w:cs="Times New Roman"/>
          <w:b/>
          <w:bCs/>
          <w:color w:val="0D0D0D" w:themeColor="text1" w:themeTint="F2"/>
          <w:sz w:val="28"/>
          <w:szCs w:val="28"/>
        </w:rPr>
        <w:t xml:space="preserve"> </w:t>
      </w:r>
    </w:p>
    <w:p w14:paraId="08FD6C65" w14:textId="5F753B93" w:rsidR="005B73BD" w:rsidRDefault="005B73BD" w:rsidP="005B73BD">
      <w:pPr>
        <w:pStyle w:val="Default"/>
        <w:spacing w:line="360" w:lineRule="auto"/>
        <w:ind w:firstLine="709"/>
        <w:jc w:val="both"/>
        <w:rPr>
          <w:color w:val="auto"/>
        </w:rPr>
      </w:pPr>
      <w:r>
        <w:rPr>
          <w:color w:val="auto"/>
        </w:rPr>
        <w:t xml:space="preserve">8. Нормативы градостроительного проектирования </w:t>
      </w:r>
      <w:r w:rsidR="005F3994">
        <w:rPr>
          <w:color w:val="auto"/>
        </w:rPr>
        <w:t xml:space="preserve">Володарского </w:t>
      </w:r>
      <w:r>
        <w:rPr>
          <w:color w:val="auto"/>
        </w:rPr>
        <w:t xml:space="preserve">муниципального округа Нижегородской области обязательны для всех субъектов градостроительной деятельности, осуществляющих свою деятельность на территории </w:t>
      </w:r>
      <w:r w:rsidR="001F506B">
        <w:rPr>
          <w:color w:val="auto"/>
        </w:rPr>
        <w:t xml:space="preserve">Володарского </w:t>
      </w:r>
      <w:r>
        <w:rPr>
          <w:color w:val="auto"/>
        </w:rPr>
        <w:t>муниципального округа Нижегородской области, независимо от их организационно-правовой формы.</w:t>
      </w:r>
    </w:p>
    <w:p w14:paraId="7D34061A" w14:textId="5BF9CB8E" w:rsidR="005B73BD" w:rsidRDefault="005B73BD" w:rsidP="005B73BD">
      <w:pPr>
        <w:pStyle w:val="Default"/>
        <w:spacing w:line="360" w:lineRule="auto"/>
        <w:ind w:firstLine="709"/>
        <w:jc w:val="both"/>
        <w:rPr>
          <w:color w:val="auto"/>
        </w:rPr>
      </w:pPr>
      <w:r>
        <w:rPr>
          <w:color w:val="auto"/>
        </w:rPr>
        <w:t>9. Нормативы градостроительного проектирования</w:t>
      </w:r>
      <w:r w:rsidR="001F506B">
        <w:rPr>
          <w:color w:val="auto"/>
        </w:rPr>
        <w:t xml:space="preserve"> Володарского</w:t>
      </w:r>
      <w:r>
        <w:rPr>
          <w:color w:val="auto"/>
        </w:rPr>
        <w:t xml:space="preserve"> муниципального округа Нижегородской области не регламентируют положения по безопасности, определяемые законодательством о техническом регулировании и содержащиеся в действующих нормативных технических документах, технических регламентах, и разрабатываются с учетом этих документов.</w:t>
      </w:r>
    </w:p>
    <w:p w14:paraId="4FDB021D" w14:textId="77777777" w:rsidR="005B73BD" w:rsidRDefault="005B73BD" w:rsidP="005B73BD">
      <w:pPr>
        <w:pStyle w:val="Default"/>
        <w:spacing w:line="360" w:lineRule="auto"/>
        <w:ind w:firstLine="709"/>
        <w:jc w:val="both"/>
        <w:rPr>
          <w:color w:val="auto"/>
        </w:rPr>
      </w:pPr>
      <w:r>
        <w:rPr>
          <w:color w:val="auto"/>
        </w:rPr>
        <w:t xml:space="preserve">10. Принятые местные нормативы градостроительного проектирования не могут содержать минимальные расчетные показатели обеспеченности объектами местного значения </w:t>
      </w:r>
      <w:r>
        <w:t>муниципального</w:t>
      </w:r>
      <w:r>
        <w:rPr>
          <w:color w:val="auto"/>
        </w:rPr>
        <w:t xml:space="preserve"> округа и предельные значения расчетных показателей максимально допустимого уровня территориальной доступности таких объектов для населения </w:t>
      </w:r>
      <w:r>
        <w:t>муниципального</w:t>
      </w:r>
      <w:r>
        <w:rPr>
          <w:color w:val="auto"/>
        </w:rPr>
        <w:t xml:space="preserve"> округа ниже, чем установленные региональными нормативами предельные значения указанных расчетных показателей.</w:t>
      </w:r>
    </w:p>
    <w:p w14:paraId="1FECF751" w14:textId="67B1A9F2" w:rsidR="005B73BD" w:rsidRDefault="005B73BD" w:rsidP="005B73BD">
      <w:pPr>
        <w:pStyle w:val="Default"/>
        <w:spacing w:line="360" w:lineRule="auto"/>
        <w:ind w:firstLine="709"/>
        <w:jc w:val="both"/>
        <w:rPr>
          <w:color w:val="auto"/>
        </w:rPr>
      </w:pPr>
      <w:r>
        <w:rPr>
          <w:color w:val="auto"/>
        </w:rPr>
        <w:t xml:space="preserve">11. По вопросам, не рассмотренным в настоящих Нормативы градостроительного проектирования </w:t>
      </w:r>
      <w:r w:rsidR="001F506B">
        <w:rPr>
          <w:color w:val="auto"/>
        </w:rPr>
        <w:t xml:space="preserve">Володарского </w:t>
      </w:r>
      <w:r>
        <w:rPr>
          <w:color w:val="auto"/>
        </w:rPr>
        <w:t xml:space="preserve">муниципального округа Нижегородской области, следует </w:t>
      </w:r>
      <w:r>
        <w:rPr>
          <w:color w:val="auto"/>
        </w:rPr>
        <w:lastRenderedPageBreak/>
        <w:t>руководствоваться законами и нормативно-техническими документами, действующими на территории Российской Федерации в соответствии с требованиями Федерального закона от 27.12.2002 г. № 184-ФЗ «О техническом регулировании». При отмене и/или изменении действующих нормативных документов, в том числе тех, на которые дается ссылка в настоящих нормах, следует руководствоваться нормами, вводимыми взамен отмененных.</w:t>
      </w:r>
    </w:p>
    <w:p w14:paraId="60D89DAA" w14:textId="57989EE7" w:rsidR="005B73BD" w:rsidRDefault="005B73BD" w:rsidP="005B73BD">
      <w:pPr>
        <w:widowControl w:val="0"/>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 xml:space="preserve">12. </w:t>
      </w:r>
      <w:bookmarkStart w:id="11" w:name="_GoBack"/>
      <w:bookmarkEnd w:id="11"/>
      <w:r>
        <w:rPr>
          <w:rFonts w:ascii="Times New Roman" w:hAnsi="Times New Roman"/>
          <w:sz w:val="24"/>
          <w:szCs w:val="24"/>
        </w:rPr>
        <w:t>Настоящие Нормативы градостроительного проектирования</w:t>
      </w:r>
      <w:r w:rsidR="00E44A64">
        <w:rPr>
          <w:rFonts w:ascii="Times New Roman" w:hAnsi="Times New Roman"/>
          <w:sz w:val="24"/>
          <w:szCs w:val="24"/>
        </w:rPr>
        <w:t xml:space="preserve"> Володарского</w:t>
      </w:r>
      <w:r>
        <w:rPr>
          <w:rFonts w:ascii="Times New Roman" w:hAnsi="Times New Roman"/>
          <w:sz w:val="24"/>
          <w:szCs w:val="24"/>
        </w:rPr>
        <w:t xml:space="preserve"> муниципального округа</w:t>
      </w:r>
      <w:r>
        <w:t xml:space="preserve"> </w:t>
      </w:r>
      <w:r>
        <w:rPr>
          <w:rFonts w:ascii="Times New Roman" w:hAnsi="Times New Roman"/>
          <w:sz w:val="24"/>
          <w:szCs w:val="24"/>
        </w:rPr>
        <w:t>Нижегородской области не распространяются на документы территориального планирования, которые утверждены или подготовка которых начата до вступления в силу настоящих нормативов.</w:t>
      </w:r>
    </w:p>
    <w:p w14:paraId="71256848" w14:textId="77777777" w:rsidR="005B73BD" w:rsidRDefault="005B73BD" w:rsidP="005B73BD"/>
    <w:p w14:paraId="758A0BEF" w14:textId="77777777" w:rsidR="005B73BD" w:rsidRPr="005B73BD" w:rsidRDefault="005B73BD" w:rsidP="005B73BD">
      <w:pPr>
        <w:spacing w:line="360" w:lineRule="auto"/>
        <w:ind w:firstLine="709"/>
        <w:jc w:val="both"/>
        <w:rPr>
          <w:rFonts w:ascii="Times New Roman" w:hAnsi="Times New Roman"/>
          <w:sz w:val="24"/>
          <w:szCs w:val="24"/>
        </w:rPr>
      </w:pPr>
    </w:p>
    <w:sectPr w:rsidR="005B73BD" w:rsidRPr="005B73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20E"/>
    <w:rsid w:val="00064BA7"/>
    <w:rsid w:val="001F506B"/>
    <w:rsid w:val="003A2884"/>
    <w:rsid w:val="005B73BD"/>
    <w:rsid w:val="005F3994"/>
    <w:rsid w:val="00A44175"/>
    <w:rsid w:val="00A84679"/>
    <w:rsid w:val="00E44A64"/>
    <w:rsid w:val="00E47C77"/>
    <w:rsid w:val="00E624EF"/>
    <w:rsid w:val="00F6720E"/>
    <w:rsid w:val="00F913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A82D2"/>
  <w15:chartTrackingRefBased/>
  <w15:docId w15:val="{2CF321C9-1C8A-416F-BFBA-AE562EEEC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7C77"/>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3A28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B73B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47C7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0"/>
    <w:link w:val="1"/>
    <w:uiPriority w:val="9"/>
    <w:rsid w:val="003A2884"/>
    <w:rPr>
      <w:rFonts w:asciiTheme="majorHAnsi" w:eastAsiaTheme="majorEastAsia" w:hAnsiTheme="majorHAnsi" w:cstheme="majorBidi"/>
      <w:color w:val="2F5496" w:themeColor="accent1" w:themeShade="BF"/>
      <w:sz w:val="32"/>
      <w:szCs w:val="32"/>
      <w:lang w:eastAsia="ru-RU"/>
    </w:rPr>
  </w:style>
  <w:style w:type="paragraph" w:styleId="a3">
    <w:name w:val="TOC Heading"/>
    <w:basedOn w:val="1"/>
    <w:next w:val="a"/>
    <w:uiPriority w:val="39"/>
    <w:unhideWhenUsed/>
    <w:qFormat/>
    <w:rsid w:val="003A2884"/>
    <w:pPr>
      <w:spacing w:line="259" w:lineRule="auto"/>
      <w:outlineLvl w:val="9"/>
    </w:pPr>
  </w:style>
  <w:style w:type="character" w:customStyle="1" w:styleId="20">
    <w:name w:val="Заголовок 2 Знак"/>
    <w:basedOn w:val="a0"/>
    <w:link w:val="2"/>
    <w:uiPriority w:val="9"/>
    <w:semiHidden/>
    <w:rsid w:val="005B73BD"/>
    <w:rPr>
      <w:rFonts w:asciiTheme="majorHAnsi" w:eastAsiaTheme="majorEastAsia" w:hAnsiTheme="majorHAnsi" w:cstheme="majorBidi"/>
      <w:color w:val="2F5496" w:themeColor="accent1" w:themeShade="BF"/>
      <w:sz w:val="26"/>
      <w:szCs w:val="26"/>
      <w:lang w:eastAsia="ru-RU"/>
    </w:rPr>
  </w:style>
  <w:style w:type="paragraph" w:customStyle="1" w:styleId="ConsNormal">
    <w:name w:val="ConsNormal"/>
    <w:rsid w:val="005B73B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11">
    <w:name w:val="toc 1"/>
    <w:basedOn w:val="a"/>
    <w:next w:val="a"/>
    <w:autoRedefine/>
    <w:uiPriority w:val="39"/>
    <w:unhideWhenUsed/>
    <w:rsid w:val="005B73BD"/>
    <w:pPr>
      <w:spacing w:after="100"/>
    </w:pPr>
  </w:style>
  <w:style w:type="paragraph" w:styleId="21">
    <w:name w:val="toc 2"/>
    <w:basedOn w:val="a"/>
    <w:next w:val="a"/>
    <w:autoRedefine/>
    <w:uiPriority w:val="39"/>
    <w:unhideWhenUsed/>
    <w:rsid w:val="005B73BD"/>
    <w:pPr>
      <w:spacing w:after="100"/>
      <w:ind w:left="220"/>
    </w:pPr>
  </w:style>
  <w:style w:type="character" w:styleId="a4">
    <w:name w:val="Hyperlink"/>
    <w:basedOn w:val="a0"/>
    <w:uiPriority w:val="99"/>
    <w:unhideWhenUsed/>
    <w:rsid w:val="005B73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762859">
      <w:bodyDiv w:val="1"/>
      <w:marLeft w:val="0"/>
      <w:marRight w:val="0"/>
      <w:marTop w:val="0"/>
      <w:marBottom w:val="0"/>
      <w:divBdr>
        <w:top w:val="none" w:sz="0" w:space="0" w:color="auto"/>
        <w:left w:val="none" w:sz="0" w:space="0" w:color="auto"/>
        <w:bottom w:val="none" w:sz="0" w:space="0" w:color="auto"/>
        <w:right w:val="none" w:sz="0" w:space="0" w:color="auto"/>
      </w:divBdr>
    </w:div>
    <w:div w:id="194873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03117-449E-4693-BC6E-5FFEF98C2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6</Pages>
  <Words>1185</Words>
  <Characters>6761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2025-08-29T09:05:00Z</dcterms:created>
  <dcterms:modified xsi:type="dcterms:W3CDTF">2025-09-04T12:01:00Z</dcterms:modified>
</cp:coreProperties>
</file>